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8229" w14:textId="77777777" w:rsidR="002C4036" w:rsidRPr="002C4036" w:rsidRDefault="002C4036" w:rsidP="002C4036">
      <w:pPr>
        <w:widowControl w:val="0"/>
        <w:tabs>
          <w:tab w:val="left" w:pos="1389"/>
        </w:tabs>
        <w:autoSpaceDE w:val="0"/>
        <w:autoSpaceDN w:val="0"/>
        <w:adjustRightInd w:val="0"/>
        <w:spacing w:line="900" w:lineRule="atLeast"/>
        <w:textAlignment w:val="center"/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</w:pPr>
      <w:r w:rsidRPr="002C4036"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  <w:t xml:space="preserve">Europa </w:t>
      </w:r>
      <w:r w:rsidRPr="002C4036">
        <w:rPr>
          <w:rFonts w:ascii="ClarendonBT-Bold" w:hAnsi="ClarendonBT-Bold" w:cs="ClarendonBT-Bold"/>
          <w:b/>
          <w:bCs/>
          <w:color w:val="00459A"/>
          <w:sz w:val="60"/>
          <w:szCs w:val="60"/>
        </w:rPr>
        <w:t>para</w:t>
      </w:r>
      <w:r w:rsidRPr="002C4036"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  <w:t xml:space="preserve"> Todos</w:t>
      </w:r>
    </w:p>
    <w:p w14:paraId="70611ECE" w14:textId="77777777" w:rsidR="002C4036" w:rsidRPr="002C4036" w:rsidRDefault="002C4036" w:rsidP="002C4036">
      <w:pPr>
        <w:widowControl w:val="0"/>
        <w:tabs>
          <w:tab w:val="left" w:pos="1389"/>
        </w:tabs>
        <w:autoSpaceDE w:val="0"/>
        <w:autoSpaceDN w:val="0"/>
        <w:adjustRightInd w:val="0"/>
        <w:spacing w:line="900" w:lineRule="atLeast"/>
        <w:textAlignment w:val="center"/>
        <w:rPr>
          <w:rFonts w:ascii="ClarendonBT-Roman" w:hAnsi="ClarendonBT-Roman" w:cs="ClarendonBT-Roman"/>
          <w:color w:val="000000"/>
          <w:sz w:val="70"/>
          <w:szCs w:val="70"/>
        </w:rPr>
      </w:pPr>
      <w:r w:rsidRPr="002C4036">
        <w:rPr>
          <w:rFonts w:ascii="ClarendonBT-Bold" w:hAnsi="ClarendonBT-Bold" w:cs="ClarendonBT-Bold"/>
          <w:b/>
          <w:bCs/>
          <w:color w:val="00459A"/>
          <w:sz w:val="60"/>
          <w:szCs w:val="60"/>
        </w:rPr>
        <w:t>y</w:t>
      </w:r>
      <w:r w:rsidRPr="002C4036">
        <w:rPr>
          <w:rFonts w:ascii="ClarendonBT-Bold" w:hAnsi="ClarendonBT-Bold" w:cs="ClarendonBT-Bold"/>
          <w:b/>
          <w:bCs/>
          <w:caps/>
          <w:color w:val="00459A"/>
          <w:sz w:val="60"/>
          <w:szCs w:val="60"/>
        </w:rPr>
        <w:t xml:space="preserve"> EGIPTO </w:t>
      </w:r>
      <w:r w:rsidRPr="002C4036">
        <w:rPr>
          <w:rFonts w:ascii="ClarendonBT-Roman" w:hAnsi="ClarendonBT-Roman" w:cs="ClarendonBT-Roman"/>
          <w:color w:val="000000"/>
          <w:sz w:val="30"/>
          <w:szCs w:val="30"/>
        </w:rPr>
        <w:t>26</w:t>
      </w:r>
      <w:r w:rsidRPr="002C4036">
        <w:rPr>
          <w:rFonts w:ascii="ClarendonBT-Roman" w:hAnsi="ClarendonBT-Roman" w:cs="ClarendonBT-Roman"/>
          <w:color w:val="000000"/>
          <w:sz w:val="22"/>
          <w:szCs w:val="22"/>
        </w:rPr>
        <w:t xml:space="preserve"> días </w:t>
      </w:r>
    </w:p>
    <w:p w14:paraId="58E7C2B7" w14:textId="77777777" w:rsidR="002C4036" w:rsidRPr="002C4036" w:rsidRDefault="002C4036" w:rsidP="002C4036">
      <w:pPr>
        <w:widowControl w:val="0"/>
        <w:tabs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larendonBT-Roman" w:hAnsi="ClarendonBT-Roman" w:cs="ClarendonBT-Roman"/>
          <w:color w:val="000000"/>
          <w:sz w:val="14"/>
          <w:szCs w:val="14"/>
        </w:rPr>
      </w:pPr>
      <w:r w:rsidRPr="002C4036">
        <w:rPr>
          <w:rFonts w:ascii="ClarendonBT-Roman" w:hAnsi="ClarendonBT-Roman" w:cs="ClarendonBT-Roman"/>
          <w:color w:val="000000"/>
          <w:sz w:val="14"/>
          <w:szCs w:val="14"/>
        </w:rPr>
        <w:t>C-42652</w:t>
      </w:r>
    </w:p>
    <w:p w14:paraId="7E663D7C" w14:textId="77777777" w:rsidR="002C4036" w:rsidRPr="002C4036" w:rsidRDefault="002C4036" w:rsidP="002C4036">
      <w:pPr>
        <w:widowControl w:val="0"/>
        <w:tabs>
          <w:tab w:val="left" w:pos="1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larendonBT-Roman" w:hAnsi="ClarendonBT-Roman" w:cs="ClarendonBT-Roman"/>
          <w:color w:val="BD0022"/>
          <w:w w:val="90"/>
        </w:rPr>
      </w:pPr>
      <w:r w:rsidRPr="002C4036">
        <w:rPr>
          <w:rFonts w:ascii="ClarendonBT-Roman" w:hAnsi="ClarendonBT-Roman" w:cs="ClarendonBT-Roman"/>
          <w:smallCaps/>
          <w:color w:val="BD0022"/>
          <w:w w:val="90"/>
        </w:rPr>
        <w:t>INCLUYE</w:t>
      </w:r>
      <w:r w:rsidRPr="002C4036">
        <w:rPr>
          <w:rFonts w:ascii="ClarendonBT-Roman" w:hAnsi="ClarendonBT-Roman" w:cs="ClarendonBT-Roman"/>
          <w:smallCaps/>
          <w:color w:val="BD0022"/>
          <w:w w:val="90"/>
        </w:rPr>
        <w:tab/>
      </w:r>
      <w:r w:rsidRPr="002C4036">
        <w:rPr>
          <w:rFonts w:ascii="ClarendonBT-Roman" w:hAnsi="ClarendonBT-Roman" w:cs="ClarendonBT-Roman"/>
          <w:color w:val="BD0022"/>
          <w:w w:val="90"/>
        </w:rPr>
        <w:t>Crucero por el Nilo 4 días</w:t>
      </w:r>
    </w:p>
    <w:p w14:paraId="374D8C52" w14:textId="75C692D9" w:rsidR="001E2AD7" w:rsidRDefault="001E2AD7" w:rsidP="001E2AD7">
      <w:pPr>
        <w:tabs>
          <w:tab w:val="left" w:pos="460"/>
        </w:tabs>
        <w:spacing w:line="480" w:lineRule="auto"/>
        <w:rPr>
          <w:rFonts w:ascii="ClarendonBT-Roman" w:hAnsi="ClarendonBT-Roman" w:cs="ClarendonBT-Roman"/>
          <w:b/>
          <w:bCs/>
          <w:color w:val="000000"/>
          <w:sz w:val="14"/>
          <w:szCs w:val="14"/>
        </w:rPr>
      </w:pPr>
    </w:p>
    <w:p w14:paraId="350CF1B1" w14:textId="2D3B7AA8" w:rsidR="001E2AD7" w:rsidRPr="002C4036" w:rsidRDefault="001E2AD7" w:rsidP="001E2AD7">
      <w:pPr>
        <w:rPr>
          <w:rFonts w:ascii="ClarendonBT-Roman" w:hAnsi="ClarendonBT-Roman" w:cs="ClarendonBT-Roman"/>
          <w:b/>
          <w:bCs/>
          <w:color w:val="FF0000"/>
          <w:sz w:val="60"/>
          <w:szCs w:val="60"/>
        </w:rPr>
      </w:pPr>
      <w:r w:rsidRPr="001E2AD7">
        <w:rPr>
          <w:rFonts w:ascii="ClarendonBT-Roman" w:hAnsi="ClarendonBT-Roman" w:cs="ClarendonBT-Roman"/>
          <w:b/>
          <w:bCs/>
          <w:color w:val="FF0000"/>
        </w:rPr>
        <w:t xml:space="preserve">desde </w:t>
      </w:r>
      <w:r w:rsidR="002C4036" w:rsidRPr="002C4036">
        <w:rPr>
          <w:rFonts w:ascii="ClarendonBT-Roman" w:hAnsi="ClarendonBT-Roman" w:cs="ClarendonBT-Roman"/>
          <w:b/>
          <w:bCs/>
          <w:color w:val="FF0000"/>
          <w:sz w:val="60"/>
          <w:szCs w:val="60"/>
        </w:rPr>
        <w:t>2.275</w:t>
      </w:r>
      <w:r w:rsidRPr="001E2AD7">
        <w:rPr>
          <w:rFonts w:ascii="ClarendonBT-Roman" w:hAnsi="ClarendonBT-Roman" w:cs="ClarendonBT-Roman"/>
          <w:b/>
          <w:bCs/>
          <w:color w:val="FF0000"/>
        </w:rPr>
        <w:t xml:space="preserve"> $</w:t>
      </w:r>
    </w:p>
    <w:p w14:paraId="0EC9DEA5" w14:textId="77777777" w:rsidR="002C4036" w:rsidRPr="002C4036" w:rsidRDefault="002C4036" w:rsidP="002C4036">
      <w:pPr>
        <w:spacing w:line="480" w:lineRule="auto"/>
        <w:rPr>
          <w:rFonts w:ascii="ClarendonBT-Roman" w:hAnsi="ClarendonBT-Roman" w:cs="ClarendonBT-Roman"/>
          <w:b/>
          <w:bCs/>
          <w:color w:val="000000"/>
          <w:sz w:val="14"/>
          <w:szCs w:val="14"/>
        </w:rPr>
      </w:pPr>
      <w:r w:rsidRPr="002C4036">
        <w:rPr>
          <w:rFonts w:ascii="ClarendonBT-Roman" w:hAnsi="ClarendonBT-Roman" w:cs="ClarendonBT-Roman"/>
          <w:b/>
          <w:bCs/>
          <w:color w:val="000000"/>
          <w:sz w:val="14"/>
          <w:szCs w:val="14"/>
        </w:rPr>
        <w:t>Noches: Madrid 2. Burdeos 1. Orleans 1. Londres 3. París 3. Heidelberg 1. Múnich 1.</w:t>
      </w:r>
      <w:r w:rsidRPr="002C4036">
        <w:rPr>
          <w:rFonts w:ascii="ClarendonBT-Roman" w:hAnsi="ClarendonBT-Roman" w:cs="ClarendonBT-Roman"/>
          <w:b/>
          <w:bCs/>
          <w:color w:val="000000"/>
          <w:sz w:val="14"/>
          <w:szCs w:val="14"/>
        </w:rPr>
        <w:br/>
        <w:t>Venecia 1. Florencia 1. Roma 3. Cairo 3. Crucero 4</w:t>
      </w:r>
    </w:p>
    <w:p w14:paraId="39CE3333" w14:textId="2677A836" w:rsidR="002C4036" w:rsidRPr="002C4036" w:rsidRDefault="002C4036" w:rsidP="002C4036">
      <w:pPr>
        <w:spacing w:line="480" w:lineRule="auto"/>
        <w:rPr>
          <w:rFonts w:ascii="ClarendonBT-Roman" w:hAnsi="ClarendonBT-Roman" w:cs="ClarendonBT-Roman"/>
          <w:b/>
          <w:bCs/>
          <w:color w:val="000000"/>
        </w:rPr>
      </w:pPr>
      <w:r w:rsidRPr="002C4036">
        <w:rPr>
          <w:rFonts w:ascii="ClarendonBT-Roman" w:hAnsi="ClarendonBT-Roman" w:cs="ClarendonBT-Roman"/>
          <w:b/>
          <w:bCs/>
          <w:color w:val="000000"/>
        </w:rPr>
        <w:t>Para conocer las Grandes Capitales de Europa y las tierras de los faraones</w:t>
      </w:r>
    </w:p>
    <w:p w14:paraId="69A0E605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1º (Martes) AMERICA-MADRID</w:t>
      </w:r>
    </w:p>
    <w:p w14:paraId="5CA5331E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Salida en vuelo intercontinental hacia Madrid. Noche a bordo.</w:t>
      </w:r>
    </w:p>
    <w:p w14:paraId="48A6F5EB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4835010D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2º (Miércoles) MADRID</w:t>
      </w:r>
    </w:p>
    <w:p w14:paraId="347630E8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Llegada al aeropuerto internacional de Madrid-Barajas. Asistencia y traslado al hotel.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resto del día libre.</w:t>
      </w:r>
    </w:p>
    <w:p w14:paraId="353EFE5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4CAF0839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3º (Jueves) MADRID</w:t>
      </w:r>
    </w:p>
    <w:p w14:paraId="71DB3F48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desayuno.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Por la mañana, visita panorámica con amplio recorrido a través de sus más importantes avenidas, plazas y edificios: Gran Vía, Cibeles y el Ayuntamiento, Puerta de Alcalá, Plaza de España, Plaza de Oriente donde se sitúa el Palacio Real…. Resto del día libre para compras o actividades personales.</w:t>
      </w:r>
    </w:p>
    <w:p w14:paraId="03179F6D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3C4BCC39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4º (Viernes) MADRID-BURDEOS</w:t>
      </w:r>
    </w:p>
    <w:p w14:paraId="42E68651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el norte de España vía Burgos y San Sebastián hacia la frontera francesa para llegar a Burdeos, capital de Aquitania e importante región vinícola.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20BBB994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CCB28AC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spacing w:val="-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spacing w:val="-2"/>
          <w:w w:val="85"/>
          <w:sz w:val="16"/>
          <w:szCs w:val="16"/>
        </w:rPr>
        <w:t>Día 5º (Sábado) BURDEOS-VALLE DEL LOIRA-ORLEANS</w:t>
      </w:r>
    </w:p>
    <w:p w14:paraId="78E43A61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Poitiers y Tours, donde se inicia un breve recorrido por el fértil Valle del Loira. Breve parada en Amboise en cuyo castillo habitó Leonardo da Vinci, y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Chambord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, bello castillo rodeado de magníficos jardines. Posteriormente continuación hasta Orleans.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 xml:space="preserve">Alojamiento. </w:t>
      </w:r>
    </w:p>
    <w:p w14:paraId="66A08AA8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37F42CC4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6º (Domingo) ORLEANS-CALAIS-DOVER-LONDRES</w:t>
      </w:r>
    </w:p>
    <w:p w14:paraId="2D663DF6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Salida hacia el puerto de Calais, donde se embarcará en el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ferry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para cruzar el Canal de la Mancha. Desembarque en el puerto inglés de Dover y continuación a través de Inglaterra hasta llegar a Londres.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4663C947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7D2D8A7F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7º (Lunes) LONDRES</w:t>
      </w:r>
    </w:p>
    <w:p w14:paraId="572724F1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Por la mañana visita panorámica de esta ciudad cosmopolita para conocer los lugares de mayor interés como las Casas del Parlamento y el Big-Ben, Abadía de Westminster, Plaza de Trafalgar, Palacio de Buckingham con el cambio de la Guardia Real si el tiempo lo permite,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Picadilly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Circus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….Tarde libre para seguir conociendo una de las capitales más animadas del mundo o realizar compras en sus afamados comercios.</w:t>
      </w:r>
    </w:p>
    <w:p w14:paraId="13C126AB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73F51DEC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8º (Martes) LONDRES</w:t>
      </w:r>
    </w:p>
    <w:p w14:paraId="1D89E298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-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spacing w:val="-2"/>
          <w:w w:val="85"/>
          <w:sz w:val="16"/>
          <w:szCs w:val="16"/>
        </w:rPr>
        <w:t>Alojamiento y desayuno.</w:t>
      </w:r>
      <w:r w:rsidRPr="002C4036">
        <w:rPr>
          <w:rFonts w:ascii="Helvetica" w:hAnsi="Helvetica" w:cs="Helvetica"/>
          <w:color w:val="000000"/>
          <w:spacing w:val="-2"/>
          <w:w w:val="85"/>
          <w:sz w:val="16"/>
          <w:szCs w:val="16"/>
        </w:rPr>
        <w:t xml:space="preserve"> Día libre para actividades personales. Sugerimos realizar una excursión opcional a Oxford con su célebre Universidad, o al castillo de Windsor considerado como la mayor fortaleza habitada del mundo. También pueden visitar la Torre de Londres donde se exhiben las joyas de la corona británica, o pasear por las orillas del Támesis. </w:t>
      </w:r>
    </w:p>
    <w:p w14:paraId="4DC69E6F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7B8F186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9º (Miércoles) LONDRES-FOLKESTONE-EUROTUNEL-CALAIS-PARIS</w:t>
      </w:r>
    </w:p>
    <w:p w14:paraId="6D167C6A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Folkestone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para abordar el tren de Alta Velocidad “Le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Shuttle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” y cruzar el Canal de la Mancha por el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Eurotúnel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hacia Calais, ya en territorio francés. Continuación del viaje hasta París.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Posibilidad de realizar opcionalmente una visita de “París iluminado” y un crucero por el Sena. </w:t>
      </w:r>
    </w:p>
    <w:p w14:paraId="12AFED7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234B024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10º (Jueves) PARIS</w:t>
      </w:r>
    </w:p>
    <w:p w14:paraId="3A560F5F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Por la mañana, visita panorámica de la Ciudad Luz para conocer recorriendo sus lugares más emblemáticos como la Place de la Concorde y Arco del Triunfo, los Campos Elíseos, La Bastilla, la Isla de la Ciudad con la imponente Iglesia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Notre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Dame, los Inválidos donde se encuentra la tumba de Napoleón, con breve parada fotográfica para captar la Torre Eiffel. Resto del tiempo libre para visitar opcionalmente el importante Museo del Louvre y por la noche asistir a un afamado espectáculo.</w:t>
      </w:r>
    </w:p>
    <w:p w14:paraId="1298957F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2ABD56C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11º (Viernes) PARIS</w:t>
      </w:r>
    </w:p>
    <w:p w14:paraId="1527512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. Día libre para actividades personales y continuar descubriendo los importantes monumentos de esta ciudad cosmopolita. Recomendamos realizar una excursión opcional al magnífico Palacio de Versalles, declarado Patrimonio de la Humanidad, para conocer su imponente arquitectura y sus bellos jardines.</w:t>
      </w:r>
    </w:p>
    <w:p w14:paraId="205FF7A5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1CAC3635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12º (Sábado) PARIS-HEIDELBERG</w:t>
      </w:r>
    </w:p>
    <w:p w14:paraId="15A84AC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-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spacing w:val="-2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spacing w:val="-2"/>
          <w:w w:val="85"/>
          <w:sz w:val="16"/>
          <w:szCs w:val="16"/>
        </w:rPr>
        <w:t xml:space="preserve"> y salida por las regiones de Champagne y Les </w:t>
      </w:r>
      <w:proofErr w:type="spellStart"/>
      <w:r w:rsidRPr="002C4036">
        <w:rPr>
          <w:rFonts w:ascii="Helvetica" w:hAnsi="Helvetica" w:cs="Helvetica"/>
          <w:color w:val="000000"/>
          <w:spacing w:val="-2"/>
          <w:w w:val="85"/>
          <w:sz w:val="16"/>
          <w:szCs w:val="16"/>
        </w:rPr>
        <w:t>Ardenes</w:t>
      </w:r>
      <w:proofErr w:type="spellEnd"/>
      <w:r w:rsidRPr="002C4036">
        <w:rPr>
          <w:rFonts w:ascii="Helvetica" w:hAnsi="Helvetica" w:cs="Helvetica"/>
          <w:color w:val="000000"/>
          <w:spacing w:val="-2"/>
          <w:w w:val="85"/>
          <w:sz w:val="16"/>
          <w:szCs w:val="16"/>
        </w:rPr>
        <w:t xml:space="preserve"> hacia la frontera alemana para llegar a Heidelberg, antigua ciudad universitaria. Tiempo libre para callejear por sus típicas calles y contemplar en lo alto los restos de su majestuoso castillo. Posteriormente llegada al hotel y </w:t>
      </w:r>
      <w:r w:rsidRPr="002C4036">
        <w:rPr>
          <w:rFonts w:ascii="Helvetica-Bold" w:hAnsi="Helvetica-Bold" w:cs="Helvetica-Bold"/>
          <w:b/>
          <w:bCs/>
          <w:color w:val="000000"/>
          <w:spacing w:val="-2"/>
          <w:w w:val="85"/>
          <w:sz w:val="16"/>
          <w:szCs w:val="16"/>
        </w:rPr>
        <w:t>alojamiento</w:t>
      </w:r>
      <w:r w:rsidRPr="002C4036">
        <w:rPr>
          <w:rFonts w:ascii="Helvetica" w:hAnsi="Helvetica" w:cs="Helvetica"/>
          <w:color w:val="000000"/>
          <w:spacing w:val="-2"/>
          <w:w w:val="85"/>
          <w:sz w:val="16"/>
          <w:szCs w:val="16"/>
        </w:rPr>
        <w:t xml:space="preserve"> </w:t>
      </w:r>
    </w:p>
    <w:p w14:paraId="744863C4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18284300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13º (Domingo) HEIDELBERG-RUTA ROMANTICA-MUNICH</w:t>
      </w:r>
    </w:p>
    <w:p w14:paraId="5B9F26F2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Salida por la Ruta Romántica de bellos paisajes y evocadoras poblaciones. En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Rotemburgo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haremos una parada para admirar esta bella ciudad medieval que conserva sus murallas, torres y puertas originales, contemplar sus típicas calles y la antigua arquitectura germana. Continuación a Múnich, capital del Estado de Baviera e 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lastRenderedPageBreak/>
        <w:t xml:space="preserve">importante centro económico y universitario de Alemania.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03A60ADA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13FB071E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spacing w:val="-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spacing w:val="-2"/>
          <w:w w:val="85"/>
          <w:sz w:val="16"/>
          <w:szCs w:val="16"/>
        </w:rPr>
        <w:t>Día 14º (Lunes) MUNICH-INNSBRUCK-VERONA-VENECIA</w:t>
      </w:r>
    </w:p>
    <w:p w14:paraId="204CCD09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Salida hacia la frontera austriaca a través de bellos paisajes alpinos para llegar a Innsbruck, capital del Tirol, donde tendremos tiempo libre. Continuaremos  por la autopista atravesando el impresionante Paso Alpino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Brenner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, con el puente más alto de Europa “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Europabrücke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” hacia Italia para llegar a Verona, ciudad inmortalizada por William Shakespeare en su obra “Romeo y Julieta”. Continuación del viaje hasta Venecia.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3D62A285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C019067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15º (Martes) VENECIA-FLORENCIA</w:t>
      </w:r>
    </w:p>
    <w:p w14:paraId="330D68DB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visita panorámica a pie de esta singular ciudad construida sobre 118 islas con románticos puentes y canales para conocer la Plaza de San Marcos con el Campanario y el Palacio Ducal, el famoso Puente de los Suspiros... Tiempo libre y posibilidad de realizar un paseo opcional en Góndola. Posteriormente salida hacia Florencia, capital de la Toscana y cuna del Renacimiento.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247C5E32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2366653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16º (Miércoles) FLORENCIA-ROMA</w:t>
      </w:r>
    </w:p>
    <w:p w14:paraId="0C0066E8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Visita panorámica de esta ciudad rebosante de Arte, Historia y Cultura, para admirar sus importantes joyas arquitectónicas: la Catedral de Santa María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dei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Fiori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, con su bello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Campanile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el Baptisterio con las famosas puertas del Paraíso por donde pasaron Miguel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Angel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o Dante Alighieri, la Plaza de la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Signoría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, Ponte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Vecchio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… Salida hacia Roma.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posibilidad de realizar una visita opcional nocturna para conocer la Roma Barroca, con sus famosas fuentes y plazas.</w:t>
      </w:r>
    </w:p>
    <w:p w14:paraId="06788337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84E798B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17º (Jueves) ROMA</w:t>
      </w:r>
    </w:p>
    <w:p w14:paraId="5599BBE9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Por la mañana visita panorámica de la Ciudad Imperial por la Piazza Venecia, Foros Imperiales, el Coliseo, Arco de Constantino, Circo Máximo, y la imponente Plaza de San Pedro en el Vaticano. Resto del día libre con posibilidad de visitar opcionalmente los famosos Museos Vaticanos y la Capilla Sixtina con los frescos de Miguel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Angel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.</w:t>
      </w:r>
    </w:p>
    <w:p w14:paraId="05CAC18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4E6DF589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Día 18º (Viernes) ROMA </w:t>
      </w:r>
    </w:p>
    <w:p w14:paraId="6B715EC9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Día libre para actividades personales, en el que recomendamos efectuar opcionalmente la excursión a Nápoles,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Capri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y Pompeya de día completo para conocer Pompeya, ciudad romana que fue sepultada por las cenizas del volcán Vesubio en el año 79, y visitar la mítica isla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Capri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, que cautivó a los Emperadores Romanos con sus bellezas naturales. </w:t>
      </w:r>
    </w:p>
    <w:p w14:paraId="774E32F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E050D03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19º (Sábado) ROMA-CAIRO (avión)</w:t>
      </w:r>
    </w:p>
    <w:p w14:paraId="72D0EE4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Traslado al aeropuerto para salir hacia El Cairo (boleto aéreo no incluido). Llegada al aeropuerto y traslado al hotel.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</w:p>
    <w:p w14:paraId="5450F600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Día 20º (Domingo) EL CAIRO </w:t>
      </w:r>
    </w:p>
    <w:p w14:paraId="40FA3571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Visita de las Pirámides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Giza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donde se contempla la primera maravilla de las siete maravillas del mundo antiguo,  la gran pirámide de Keops y las pirámides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Kefren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, 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Micerinos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 y la Esfinge esculpida en la roca, que representa la cabeza del faraón y el cuerpo de un león. Tarde libre.</w:t>
      </w:r>
    </w:p>
    <w:p w14:paraId="59E108EA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3"/>
          <w:w w:val="85"/>
          <w:sz w:val="16"/>
          <w:szCs w:val="16"/>
        </w:rPr>
      </w:pPr>
    </w:p>
    <w:p w14:paraId="291FE32F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Día 21º (Lunes) EL CAIRO-LUXOR (Avión) </w:t>
      </w:r>
    </w:p>
    <w:p w14:paraId="475B445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A la hora indicada traslado al aeropuerto para tomar vuelo con destino a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Luxor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Llegada y traslado al barco. Distribución de los camarotes y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almuerzo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Visita del templo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Karnak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o los templos del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Karnak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que se considera el templo mas grande de Egipto con su avenida de carneros y su sala de 132 columnas. El templo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Luxor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construido por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Amenofis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III y Ramsés II con su famosa avenida de esfinges. Tarde libre.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Cena y noche a bordo.</w:t>
      </w:r>
    </w:p>
    <w:p w14:paraId="13587A6C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3"/>
          <w:w w:val="85"/>
          <w:sz w:val="16"/>
          <w:szCs w:val="16"/>
        </w:rPr>
      </w:pPr>
    </w:p>
    <w:p w14:paraId="445D2E0B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proofErr w:type="spellStart"/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Dia</w:t>
      </w:r>
      <w:proofErr w:type="spellEnd"/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 22º (Martes) LUXOR-EDFU</w:t>
      </w:r>
    </w:p>
    <w:p w14:paraId="45BC274D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Pensión completa a bordo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Visita del Valle de los Reyes, donde se encuentran las tumbas de los reyes del imperio nuevo, cuando Tebas era la capital de Egipto, Templo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Hatshepsut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, Colosos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Memon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Navegación hacia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Esna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, paso de la esclusa, y continuación a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Edfu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.</w:t>
      </w:r>
    </w:p>
    <w:p w14:paraId="5E3C7D80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23º (Miércoles) EDFU-KOM OMBO</w:t>
      </w:r>
    </w:p>
    <w:p w14:paraId="51A7911C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spacing w:val="2"/>
          <w:w w:val="85"/>
          <w:sz w:val="16"/>
          <w:szCs w:val="16"/>
        </w:rPr>
        <w:t>Pensión completa a bordo</w:t>
      </w:r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 xml:space="preserve">. Visita del Templo de Horus, hijo de Isis y Osiris, el templo mejor conservado con el santuario de Naos del dios y la barca ceremonial. Navegación hacia </w:t>
      </w:r>
      <w:proofErr w:type="spellStart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>Kom</w:t>
      </w:r>
      <w:proofErr w:type="spellEnd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 xml:space="preserve"> </w:t>
      </w:r>
      <w:proofErr w:type="spellStart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>Ombo</w:t>
      </w:r>
      <w:proofErr w:type="spellEnd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 xml:space="preserve">. Visita de los templos de </w:t>
      </w:r>
      <w:proofErr w:type="spellStart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>Sobek</w:t>
      </w:r>
      <w:proofErr w:type="spellEnd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 xml:space="preserve">, el dios de cabeza de cocodrilo, simbolizando a la fertilidad del Nilo y </w:t>
      </w:r>
      <w:proofErr w:type="spellStart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>Haroeris</w:t>
      </w:r>
      <w:proofErr w:type="spellEnd"/>
      <w:r w:rsidRPr="002C4036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 xml:space="preserve"> o el dios Halcón el mayor. Navegación.</w:t>
      </w:r>
    </w:p>
    <w:p w14:paraId="2476B172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3"/>
          <w:w w:val="85"/>
          <w:sz w:val="16"/>
          <w:szCs w:val="16"/>
        </w:rPr>
      </w:pPr>
    </w:p>
    <w:p w14:paraId="788226D2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24º (Jueves) ASWAN</w:t>
      </w:r>
    </w:p>
    <w:p w14:paraId="34184046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Pensión completa a bordo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Visita de la Alta Presa, considerada la presa más grande del mundo. Templo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Philae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o templo de la diosas Isis, construido en la época griega y trasladado a la isla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Egelikia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para salvarlo de las aguas del Nilo, después de la construcción de la presa. Por la tarde daremos un paseo en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faluca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 alrededor de las islas de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Aswan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</w:t>
      </w:r>
    </w:p>
    <w:p w14:paraId="21668C2E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spacing w:val="3"/>
          <w:w w:val="85"/>
          <w:sz w:val="16"/>
          <w:szCs w:val="16"/>
        </w:rPr>
      </w:pPr>
    </w:p>
    <w:p w14:paraId="761C96E0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25º (Viernes) ASWAN-EL CAIRO (avión)</w:t>
      </w:r>
    </w:p>
    <w:p w14:paraId="41D50B3B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Desembarque. Mañana libre con posibilidad de realizar la excursión opcional a Abu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Simbel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Por la tarde traslado al aeropuerto para salir hacia El Cairo. Llegada y traslado al hotel.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251CBA04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5A18EE4A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Día 26º (Sábado) EL CAIRO </w:t>
      </w:r>
    </w:p>
    <w:p w14:paraId="097A67A0" w14:textId="77777777" w:rsidR="002C4036" w:rsidRPr="002C4036" w:rsidRDefault="002C4036" w:rsidP="002C4036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 xml:space="preserve">. Traslado al aeropuerto. </w:t>
      </w:r>
      <w:r w:rsidRPr="002C4036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Fin de los servicios.</w:t>
      </w:r>
    </w:p>
    <w:p w14:paraId="140131C0" w14:textId="77777777" w:rsidR="002C4D76" w:rsidRDefault="002C4D76"/>
    <w:p w14:paraId="77849AB4" w14:textId="77777777" w:rsidR="003D6534" w:rsidRDefault="003D6534"/>
    <w:p w14:paraId="65031B9B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spacing w:val="-2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spacing w:val="-2"/>
          <w:w w:val="90"/>
          <w:position w:val="1"/>
          <w:sz w:val="20"/>
          <w:szCs w:val="20"/>
        </w:rPr>
        <w:t>Fechas de salida garantizadas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341"/>
        <w:gridCol w:w="340"/>
        <w:gridCol w:w="340"/>
        <w:gridCol w:w="340"/>
        <w:gridCol w:w="340"/>
      </w:tblGrid>
      <w:tr w:rsidR="002C4036" w:rsidRPr="002C4036" w14:paraId="0C005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266B60B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Marzo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00699AA8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6E5EDA86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47F22910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301E1FB5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40" w:type="dxa"/>
              <w:right w:w="0" w:type="dxa"/>
            </w:tcMar>
            <w:vAlign w:val="center"/>
          </w:tcPr>
          <w:p w14:paraId="0EB334E1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2C4036" w:rsidRPr="002C4036" w14:paraId="135BA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35EBD7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Abril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497E5AF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5347C9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FF5C25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22E232E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087ACB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2C4036" w:rsidRPr="002C4036" w14:paraId="5FF77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EB5E5E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Mayo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3429D8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DA2E5A5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D509FFE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9169DD3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3B19D97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31</w:t>
            </w:r>
          </w:p>
        </w:tc>
      </w:tr>
      <w:tr w:rsidR="002C4036" w:rsidRPr="002C4036" w14:paraId="4CD22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4F45BCE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Junio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D72AF1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3B433F0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3396092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B3A877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F6BFCE7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2C4036" w:rsidRPr="002C4036" w14:paraId="74498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48FE57B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Julio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6362D3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2D2E289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F499037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42E5DE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1D64608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2C4036" w:rsidRPr="002C4036" w14:paraId="3E9C4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2EDF7F0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Agosto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E4D8270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E91CAC5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A1CB75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AB355C9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CEEC22F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30</w:t>
            </w:r>
          </w:p>
        </w:tc>
      </w:tr>
      <w:tr w:rsidR="002C4036" w:rsidRPr="002C4036" w14:paraId="6A300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C6E512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Septiembre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F2C5CD2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3F1D6B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C69F51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1DABDC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AFE6A5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2C4036" w:rsidRPr="002C4036" w14:paraId="42AD3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0DDC63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Octubre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70ADF09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71B440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C0E49C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B31A486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A816FD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</w:tbl>
    <w:p w14:paraId="34C55639" w14:textId="77777777" w:rsidR="00CB6B4C" w:rsidRDefault="00CB6B4C" w:rsidP="00541BF2">
      <w:pPr>
        <w:rPr>
          <w:rStyle w:val="negritasalidas"/>
          <w:rFonts w:ascii="Helvetica" w:hAnsi="Helvetica" w:cs="Helvetica"/>
          <w:color w:val="CD1321"/>
          <w:w w:val="85"/>
          <w:sz w:val="17"/>
          <w:szCs w:val="17"/>
        </w:rPr>
      </w:pPr>
    </w:p>
    <w:p w14:paraId="16A97F40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  <w:t>Hoteles previstos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3685"/>
        <w:gridCol w:w="340"/>
      </w:tblGrid>
      <w:tr w:rsidR="002C4036" w:rsidRPr="002C4036" w14:paraId="4F252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7" w:type="dxa"/>
              <w:right w:w="0" w:type="dxa"/>
            </w:tcMar>
            <w:vAlign w:val="center"/>
          </w:tcPr>
          <w:p w14:paraId="2359F203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Ciudad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7" w:type="dxa"/>
              <w:right w:w="0" w:type="dxa"/>
            </w:tcMar>
            <w:vAlign w:val="center"/>
          </w:tcPr>
          <w:p w14:paraId="4CA6240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Hotel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7" w:type="dxa"/>
              <w:right w:w="0" w:type="dxa"/>
            </w:tcMar>
            <w:vAlign w:val="center"/>
          </w:tcPr>
          <w:p w14:paraId="1CC1BAB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Cat.</w:t>
            </w:r>
          </w:p>
        </w:tc>
      </w:tr>
      <w:tr w:rsidR="002C4036" w:rsidRPr="002C4036" w14:paraId="3DE89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5F614B26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Madrid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328CE80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Catalonia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Goya /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Agumar</w:t>
            </w:r>
            <w:proofErr w:type="spellEnd"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62ADBAE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2C4036" w:rsidRPr="002C4036" w14:paraId="3BB81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2017E84F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Burdeos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5037EB0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Novotel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Bordeaux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Le Lac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C412F16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TS</w:t>
            </w:r>
          </w:p>
        </w:tc>
      </w:tr>
      <w:tr w:rsidR="002C4036" w:rsidRPr="002C4036" w14:paraId="08555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218681C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02E4EF1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Campanile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Bordeaux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Nord Le Lac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B97599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2C4036" w:rsidRPr="002C4036" w14:paraId="0C58A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C349091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Orleans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179AEF9B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Ibis Orleans Centre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Foch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2DE6DA7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2C4036" w:rsidRPr="002C4036" w14:paraId="6431A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3FA53030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Londres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3F367D13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Ibis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Earls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Court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Thistle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Barbican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Royal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National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2869215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TS</w:t>
            </w:r>
          </w:p>
        </w:tc>
      </w:tr>
      <w:tr w:rsidR="002C4036" w:rsidRPr="002C4036" w14:paraId="4623C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6139A0D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París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7ADCB58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 xml:space="preserve">Ibis Paris Porte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D´Italie</w:t>
            </w:r>
            <w:proofErr w:type="spellEnd"/>
            <w:r w:rsidRPr="002C4036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 xml:space="preserve"> / Ibis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Berthier</w:t>
            </w:r>
            <w:proofErr w:type="spellEnd"/>
            <w:r w:rsidRPr="002C4036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 xml:space="preserve"> Paris Porte de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spacing w:val="-2"/>
                <w:w w:val="85"/>
                <w:sz w:val="16"/>
                <w:szCs w:val="16"/>
              </w:rPr>
              <w:t>Clichy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02C7F7E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2C4036" w:rsidRPr="002C4036" w14:paraId="6309B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65712920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Heidelberg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143A16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Arcadia Hotel Heidelberg (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Schwetzingen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5A93615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2C4036" w:rsidRPr="002C4036" w14:paraId="4E8CE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5F8C5F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33CFA9C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Leonardo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Mannheim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Ladenburg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) / NH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Weinheim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Weinheim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0B0828B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2C4036" w:rsidRPr="002C4036" w14:paraId="60CE6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F71F4A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Munich</w:t>
            </w:r>
            <w:proofErr w:type="spellEnd"/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21C2EF67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NH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München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Neue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Messe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E670242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2C4036" w:rsidRPr="002C4036" w14:paraId="7FD0E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6A72EEA2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5639A287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Acom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Hotel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Munich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Haar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7C1D0189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2C4036" w:rsidRPr="002C4036" w14:paraId="2038E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C03F52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Venecia (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Mestre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EE1587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Alexander / Delfino / Albatros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760B07D8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2C4036" w:rsidRPr="002C4036" w14:paraId="5F85C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1440A6C" w14:textId="77777777" w:rsidR="002C4036" w:rsidRPr="002C4036" w:rsidRDefault="002C4036" w:rsidP="002C4036">
            <w:pPr>
              <w:widowControl w:val="0"/>
              <w:tabs>
                <w:tab w:val="right" w:pos="1020"/>
              </w:tabs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  <w:t>(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Marghera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6A50AFF1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Holiday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Inn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Venecia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347AA12B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2C4036" w:rsidRPr="002C4036" w14:paraId="5DD6F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2A70C827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Florencia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43BB4D32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B &amp; B Palazzo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Giustizia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38D468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2C4036" w:rsidRPr="002C4036" w14:paraId="266E1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1AD3FAF8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Roma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514FBC3B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Grand Hotel Fleming / Roma Aurelia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Antica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7AF50FDA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2C4036" w:rsidRPr="002C4036" w14:paraId="31674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689CABDE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Cairo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5D7A4FFE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Barcelo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Cataract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385BB62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2C4036" w:rsidRPr="002C4036" w14:paraId="6DAEF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62427920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Crucero Nilo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2B2D98E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Nephtis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Florence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p w14:paraId="0F4F3B9F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</w:tbl>
    <w:p w14:paraId="163707E0" w14:textId="77777777" w:rsidR="00CB6B4C" w:rsidRDefault="00CB6B4C" w:rsidP="00CB6B4C"/>
    <w:p w14:paraId="43D93958" w14:textId="77777777" w:rsidR="002C4036" w:rsidRPr="002C4036" w:rsidRDefault="002C4036" w:rsidP="002C4036">
      <w:pPr>
        <w:widowControl w:val="0"/>
        <w:pBdr>
          <w:bottom w:val="single" w:sz="5" w:space="1" w:color="BD0022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BD0022"/>
          <w:position w:val="1"/>
          <w:sz w:val="22"/>
          <w:szCs w:val="22"/>
        </w:rPr>
      </w:pPr>
      <w:r w:rsidRPr="002C4036">
        <w:rPr>
          <w:rFonts w:ascii="ClarendonBT-Roman" w:hAnsi="ClarendonBT-Roman" w:cs="ClarendonBT-Roman"/>
          <w:color w:val="505153"/>
          <w:w w:val="90"/>
          <w:position w:val="1"/>
          <w:sz w:val="20"/>
          <w:szCs w:val="20"/>
        </w:rPr>
        <w:t>Incluye</w:t>
      </w:r>
    </w:p>
    <w:p w14:paraId="7F79C818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>Traslados: Llegada Madrid, salida Roma, llegada/salida El Cairo.</w:t>
      </w:r>
    </w:p>
    <w:p w14:paraId="7DFE4CD5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1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>Traslados en vuelos internos.</w:t>
      </w:r>
    </w:p>
    <w:p w14:paraId="1FD67AFF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1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 xml:space="preserve">Autocar de lujo con </w:t>
      </w:r>
      <w:proofErr w:type="spellStart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Wi</w:t>
      </w:r>
      <w:proofErr w:type="spellEnd"/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-Fi (hasta Roma) y guía acompañante.</w:t>
      </w:r>
    </w:p>
    <w:p w14:paraId="0239469B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1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>Visita con guía local en Madrid, Londres, París, Venecia, Florencia y Roma.</w:t>
      </w:r>
    </w:p>
    <w:p w14:paraId="6A566419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1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>Visitas en Egipto según programa.</w:t>
      </w:r>
    </w:p>
    <w:p w14:paraId="0F4B1158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1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>Desayuno diario.</w:t>
      </w:r>
    </w:p>
    <w:p w14:paraId="4DE5038E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1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>Régimen de pensión completa durante el crucero.</w:t>
      </w:r>
    </w:p>
    <w:p w14:paraId="65C64D54" w14:textId="77777777" w:rsidR="002C4036" w:rsidRPr="002C4036" w:rsidRDefault="002C4036" w:rsidP="002C4036">
      <w:pPr>
        <w:widowControl w:val="0"/>
        <w:suppressAutoHyphens/>
        <w:autoSpaceDE w:val="0"/>
        <w:autoSpaceDN w:val="0"/>
        <w:adjustRightInd w:val="0"/>
        <w:spacing w:before="1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ab/>
        <w:t>Bolso de viaje.</w:t>
      </w:r>
    </w:p>
    <w:p w14:paraId="352FDD5C" w14:textId="03917B31" w:rsidR="003D6534" w:rsidRDefault="002C4036" w:rsidP="002C4036">
      <w:r w:rsidRPr="002C4036">
        <w:rPr>
          <w:rFonts w:ascii="Helvetica" w:hAnsi="Helvetica" w:cs="Helvetica"/>
          <w:color w:val="000000"/>
          <w:w w:val="85"/>
          <w:sz w:val="16"/>
          <w:szCs w:val="16"/>
        </w:rPr>
        <w:t>• Tasas Municipales en París, Venecia, Florencia y Roma.</w:t>
      </w:r>
    </w:p>
    <w:p w14:paraId="084BD08B" w14:textId="77777777" w:rsidR="003D6534" w:rsidRDefault="003D6534" w:rsidP="00CB6B4C"/>
    <w:p w14:paraId="6EDED835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  <w:t>Precios por persona U$A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680"/>
        <w:gridCol w:w="454"/>
        <w:gridCol w:w="2891"/>
        <w:gridCol w:w="681"/>
        <w:gridCol w:w="453"/>
      </w:tblGrid>
      <w:tr w:rsidR="002C4036" w:rsidRPr="002C4036" w14:paraId="11EB2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5" w:space="0" w:color="BD0022"/>
              <w:right w:val="single" w:sz="6" w:space="0" w:color="000000"/>
            </w:tcBorders>
            <w:tcMar>
              <w:top w:w="34" w:type="dxa"/>
              <w:left w:w="0" w:type="dxa"/>
              <w:bottom w:w="57" w:type="dxa"/>
              <w:right w:w="0" w:type="dxa"/>
            </w:tcMar>
          </w:tcPr>
          <w:p w14:paraId="23E86AB6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000000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0" w:type="dxa"/>
              <w:bottom w:w="85" w:type="dxa"/>
              <w:right w:w="0" w:type="dxa"/>
            </w:tcMar>
            <w:vAlign w:val="center"/>
          </w:tcPr>
          <w:p w14:paraId="26528171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Madrid - Cairo</w:t>
            </w:r>
          </w:p>
          <w:p w14:paraId="463C94CE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26 días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5" w:space="0" w:color="BD0022"/>
              <w:right w:val="single" w:sz="6" w:space="0" w:color="505153"/>
            </w:tcBorders>
            <w:tcMar>
              <w:top w:w="34" w:type="dxa"/>
              <w:left w:w="57" w:type="dxa"/>
              <w:bottom w:w="85" w:type="dxa"/>
              <w:right w:w="0" w:type="dxa"/>
            </w:tcMar>
            <w:vAlign w:val="center"/>
          </w:tcPr>
          <w:p w14:paraId="1D258AFD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505153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57" w:type="dxa"/>
              <w:bottom w:w="85" w:type="dxa"/>
              <w:right w:w="0" w:type="dxa"/>
            </w:tcMar>
            <w:vAlign w:val="center"/>
          </w:tcPr>
          <w:p w14:paraId="4451D1D1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París - Cairo</w:t>
            </w: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br/>
              <w:t>18 días</w:t>
            </w:r>
          </w:p>
        </w:tc>
      </w:tr>
      <w:tr w:rsidR="002C4036" w:rsidRPr="002C4036" w14:paraId="5BAEC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863" w:type="dxa"/>
            <w:tcBorders>
              <w:top w:val="single" w:sz="5" w:space="0" w:color="BD0022"/>
              <w:left w:val="single" w:sz="6" w:space="0" w:color="000000"/>
              <w:bottom w:val="single" w:sz="6" w:space="0" w:color="BD0022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5D6A9B6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680" w:type="dxa"/>
            <w:tcBorders>
              <w:top w:val="single" w:sz="5" w:space="0" w:color="BD0022"/>
              <w:left w:val="single" w:sz="6" w:space="0" w:color="505153"/>
              <w:bottom w:val="single" w:sz="6" w:space="0" w:color="BD0022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1739626B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5" w:space="0" w:color="BD0022"/>
              <w:left w:val="single" w:sz="6" w:space="0" w:color="505153"/>
              <w:bottom w:val="single" w:sz="6" w:space="0" w:color="BD0022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0F81584C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025" w:type="dxa"/>
            <w:gridSpan w:val="3"/>
            <w:tcBorders>
              <w:top w:val="single" w:sz="5" w:space="0" w:color="BD0022"/>
              <w:left w:val="single" w:sz="4" w:space="0" w:color="505153"/>
              <w:bottom w:val="single" w:sz="6" w:space="0" w:color="BD0022"/>
              <w:right w:val="single" w:sz="4" w:space="0" w:color="505153"/>
            </w:tcBorders>
            <w:tcMar>
              <w:top w:w="34" w:type="dxa"/>
              <w:left w:w="113" w:type="dxa"/>
              <w:bottom w:w="34" w:type="dxa"/>
              <w:right w:w="28" w:type="dxa"/>
            </w:tcMar>
          </w:tcPr>
          <w:p w14:paraId="702522A4" w14:textId="77777777" w:rsidR="002C4036" w:rsidRPr="002C4036" w:rsidRDefault="002C4036" w:rsidP="002C4036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</w:tr>
      <w:tr w:rsidR="002C4036" w:rsidRPr="002C4036" w14:paraId="7484D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63" w:type="dxa"/>
            <w:tcBorders>
              <w:top w:val="single" w:sz="6" w:space="0" w:color="BD0022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5C4498AF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En habitación doble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EA25BD2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2.275</w:t>
            </w:r>
          </w:p>
        </w:tc>
        <w:tc>
          <w:tcPr>
            <w:tcW w:w="454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45A976DB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BD0022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0" w:type="dxa"/>
            </w:tcMar>
          </w:tcPr>
          <w:p w14:paraId="11419B29" w14:textId="77777777" w:rsidR="002C4036" w:rsidRPr="002C4036" w:rsidRDefault="002C4036" w:rsidP="002C4036">
            <w:pPr>
              <w:widowControl w:val="0"/>
              <w:tabs>
                <w:tab w:val="right" w:leader="dot" w:pos="280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En habitación doble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CEA2114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2.050</w:t>
            </w:r>
          </w:p>
        </w:tc>
        <w:tc>
          <w:tcPr>
            <w:tcW w:w="453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5D03C40C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2C4036" w:rsidRPr="002C4036" w14:paraId="6F09D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27C4E76D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habitación single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7EF0143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895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371037D0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0" w:type="dxa"/>
            </w:tcMar>
          </w:tcPr>
          <w:p w14:paraId="043A038D" w14:textId="77777777" w:rsidR="002C4036" w:rsidRPr="002C4036" w:rsidRDefault="002C4036" w:rsidP="002C4036">
            <w:pPr>
              <w:widowControl w:val="0"/>
              <w:tabs>
                <w:tab w:val="right" w:leader="dot" w:pos="280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habitación single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0A6FBA9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725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61114827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2C4036" w:rsidRPr="002C4036" w14:paraId="3BCA1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89B6949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Media pensión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2D22F282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150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30BE28AA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 xml:space="preserve">$ </w:t>
            </w: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(1)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0" w:type="dxa"/>
            </w:tcMar>
          </w:tcPr>
          <w:p w14:paraId="0A2AC785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Media pensión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2634F0EA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120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BD0022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580B124E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0"/>
                <w:szCs w:val="10"/>
              </w:rPr>
              <w:t xml:space="preserve"> </w:t>
            </w: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(2)</w:t>
            </w:r>
          </w:p>
        </w:tc>
      </w:tr>
      <w:tr w:rsidR="002C4036" w:rsidRPr="002C4036" w14:paraId="6EC06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52EAAEB7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Abril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03D92BA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110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2532A0CB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0" w:type="dxa"/>
            </w:tcMar>
          </w:tcPr>
          <w:p w14:paraId="224F6091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Abril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5A3865D4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110</w:t>
            </w:r>
          </w:p>
        </w:tc>
        <w:tc>
          <w:tcPr>
            <w:tcW w:w="453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40A756F9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2C4036" w:rsidRPr="002C4036" w14:paraId="15410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6AD3A6F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Octubre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EA7A625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209D898C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0" w:type="dxa"/>
            </w:tcMar>
          </w:tcPr>
          <w:p w14:paraId="56B28ADD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Octubre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A86134F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90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249F7B11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2C4036" w:rsidRPr="002C4036" w14:paraId="0C17D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3997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B743BC5" w14:textId="77777777" w:rsidR="002C4036" w:rsidRPr="002C4036" w:rsidRDefault="002C4036" w:rsidP="002C4036">
            <w:pPr>
              <w:widowControl w:val="0"/>
              <w:tabs>
                <w:tab w:val="right" w:leader="dot" w:pos="215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vuelo:</w:t>
            </w:r>
          </w:p>
        </w:tc>
        <w:tc>
          <w:tcPr>
            <w:tcW w:w="4025" w:type="dxa"/>
            <w:gridSpan w:val="3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57" w:type="dxa"/>
              <w:bottom w:w="23" w:type="dxa"/>
              <w:right w:w="0" w:type="dxa"/>
            </w:tcMar>
          </w:tcPr>
          <w:p w14:paraId="3525F43F" w14:textId="77777777" w:rsidR="002C4036" w:rsidRPr="002C4036" w:rsidRDefault="002C4036" w:rsidP="002C4036">
            <w:pPr>
              <w:widowControl w:val="0"/>
              <w:tabs>
                <w:tab w:val="right" w:leader="dot" w:pos="215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vuelo:</w:t>
            </w:r>
          </w:p>
        </w:tc>
      </w:tr>
      <w:tr w:rsidR="002C4036" w:rsidRPr="002C4036" w14:paraId="2A62A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286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A654752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Cairo/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Luxor-Aswan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/Cairo 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A6DBA07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400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0E8682F3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2891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57" w:type="dxa"/>
              <w:bottom w:w="23" w:type="dxa"/>
              <w:right w:w="0" w:type="dxa"/>
            </w:tcMar>
          </w:tcPr>
          <w:p w14:paraId="595A670A" w14:textId="77777777" w:rsidR="002C4036" w:rsidRPr="002C4036" w:rsidRDefault="002C4036" w:rsidP="002C4036">
            <w:pPr>
              <w:widowControl w:val="0"/>
              <w:tabs>
                <w:tab w:val="right" w:leader="dot" w:pos="283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Cairo/</w:t>
            </w:r>
            <w:proofErr w:type="spellStart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Luxor-Aswan</w:t>
            </w:r>
            <w:proofErr w:type="spellEnd"/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/Cairo </w:t>
            </w:r>
            <w:r w:rsidRPr="002C4036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68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C2FBE66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400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23" w:type="dxa"/>
              <w:left w:w="57" w:type="dxa"/>
              <w:bottom w:w="23" w:type="dxa"/>
              <w:right w:w="28" w:type="dxa"/>
            </w:tcMar>
          </w:tcPr>
          <w:p w14:paraId="4EA8521B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2C4036" w:rsidRPr="002C4036" w14:paraId="3462A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8022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331969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(1) </w:t>
            </w:r>
            <w:r w:rsidRPr="002C4036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 xml:space="preserve">Excepto Madrid, Londres, París, Roma y Cairo (6 cenas). </w:t>
            </w:r>
            <w:r w:rsidRPr="002C4036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(2) </w:t>
            </w:r>
            <w:r w:rsidRPr="002C4036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>Excepto París, Roma y Cairo (4 cenas).</w:t>
            </w:r>
          </w:p>
        </w:tc>
      </w:tr>
      <w:tr w:rsidR="002C4036" w:rsidRPr="002C4036" w14:paraId="300C9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8022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34" w:type="dxa"/>
              <w:right w:w="0" w:type="dxa"/>
            </w:tcMar>
          </w:tcPr>
          <w:p w14:paraId="480CD9CE" w14:textId="77777777" w:rsidR="002C4036" w:rsidRPr="002C4036" w:rsidRDefault="002C4036" w:rsidP="002C4036">
            <w:pPr>
              <w:widowControl w:val="0"/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2C4036">
              <w:rPr>
                <w:rFonts w:ascii="Helvetica" w:hAnsi="Helvetica" w:cs="Helvetica"/>
                <w:color w:val="000000"/>
                <w:spacing w:val="3"/>
                <w:w w:val="85"/>
                <w:sz w:val="15"/>
                <w:szCs w:val="15"/>
              </w:rPr>
              <w:t>Nota: No incluye pasaje aéreo Roma-Cairo.</w:t>
            </w:r>
            <w:r w:rsidRPr="002C4036">
              <w:rPr>
                <w:rFonts w:ascii="Helvetica" w:hAnsi="Helvetica" w:cs="Helvetica"/>
                <w:color w:val="000000"/>
                <w:spacing w:val="3"/>
                <w:w w:val="85"/>
                <w:sz w:val="15"/>
                <w:szCs w:val="15"/>
              </w:rPr>
              <w:br/>
              <w:t>En Egipto el orden del programa puede variar sin afectar el contenido del mismo.</w:t>
            </w:r>
          </w:p>
        </w:tc>
      </w:tr>
    </w:tbl>
    <w:p w14:paraId="149F6D76" w14:textId="77777777" w:rsidR="00CB6B4C" w:rsidRDefault="00CB6B4C" w:rsidP="00541BF2">
      <w:bookmarkStart w:id="0" w:name="_GoBack"/>
      <w:bookmarkEnd w:id="0"/>
    </w:p>
    <w:sectPr w:rsidR="00CB6B4C" w:rsidSect="00234F9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ndy-Bold">
    <w:charset w:val="00"/>
    <w:family w:val="auto"/>
    <w:pitch w:val="variable"/>
    <w:sig w:usb0="00000003" w:usb1="00000000" w:usb2="00000000" w:usb3="00000000" w:csb0="00000001" w:csb1="00000000"/>
  </w:font>
  <w:font w:name="Andy-BoldItalic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RotisSemiSans-Bold">
    <w:altName w:val="RotisSemi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Myria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BT-Bold">
    <w:altName w:val="Clarendon B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BT-Roman">
    <w:altName w:val="Clarendon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2"/>
    <w:rsid w:val="00175E13"/>
    <w:rsid w:val="001E2AD7"/>
    <w:rsid w:val="0023133F"/>
    <w:rsid w:val="00295EA4"/>
    <w:rsid w:val="002C4036"/>
    <w:rsid w:val="002C4D76"/>
    <w:rsid w:val="0032154E"/>
    <w:rsid w:val="00391FC2"/>
    <w:rsid w:val="003B4561"/>
    <w:rsid w:val="003D6534"/>
    <w:rsid w:val="00470DEA"/>
    <w:rsid w:val="00541BF2"/>
    <w:rsid w:val="00714F92"/>
    <w:rsid w:val="00857A2E"/>
    <w:rsid w:val="009467C5"/>
    <w:rsid w:val="00B05A44"/>
    <w:rsid w:val="00CB6B4C"/>
    <w:rsid w:val="00CE10A0"/>
    <w:rsid w:val="00E82C6D"/>
    <w:rsid w:val="00ED5968"/>
    <w:rsid w:val="00ED65B5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2A8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1731</Words>
  <Characters>9521</Characters>
  <Application>Microsoft Macintosh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adsf adsf</cp:lastModifiedBy>
  <cp:revision>11</cp:revision>
  <dcterms:created xsi:type="dcterms:W3CDTF">2014-11-24T13:25:00Z</dcterms:created>
  <dcterms:modified xsi:type="dcterms:W3CDTF">2015-11-17T07:28:00Z</dcterms:modified>
</cp:coreProperties>
</file>